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0AE83" w14:textId="77777777" w:rsidR="00C27B23" w:rsidRPr="0041405A" w:rsidRDefault="0048249A">
      <w:pPr>
        <w:pStyle w:val="Titolo"/>
        <w:pageBreakBefore/>
        <w:rPr>
          <w:rFonts w:ascii="Titillium" w:hAnsi="Titillium"/>
          <w:sz w:val="20"/>
          <w:szCs w:val="20"/>
        </w:rPr>
      </w:pPr>
      <w:r w:rsidRPr="0041405A">
        <w:rPr>
          <w:rFonts w:ascii="Titillium" w:hAnsi="Titillium"/>
          <w:sz w:val="20"/>
          <w:szCs w:val="20"/>
        </w:rPr>
        <w:t xml:space="preserve">Scheda di sintesi sulla rilevazione degli OIV o </w:t>
      </w:r>
      <w:r w:rsidR="009A5646" w:rsidRPr="0041405A">
        <w:rPr>
          <w:rFonts w:ascii="Titillium" w:hAnsi="Titillium"/>
          <w:sz w:val="20"/>
          <w:szCs w:val="20"/>
        </w:rPr>
        <w:t>organismi con funzioni analoghe</w:t>
      </w:r>
    </w:p>
    <w:p w14:paraId="6133A7C3" w14:textId="77777777" w:rsidR="00C27B23" w:rsidRPr="0041405A" w:rsidRDefault="00C27B23">
      <w:pPr>
        <w:pStyle w:val="Paragrafoelenco"/>
        <w:ind w:left="0" w:firstLine="0"/>
        <w:rPr>
          <w:rFonts w:ascii="Titillium" w:hAnsi="Titillium"/>
          <w:sz w:val="20"/>
          <w:szCs w:val="20"/>
        </w:rPr>
      </w:pPr>
    </w:p>
    <w:p w14:paraId="15B7CB52" w14:textId="77777777" w:rsidR="00C27B23" w:rsidRPr="0041405A" w:rsidRDefault="0048249A">
      <w:pPr>
        <w:pStyle w:val="Paragrafoelenco"/>
        <w:spacing w:line="360" w:lineRule="auto"/>
        <w:ind w:left="0" w:firstLine="0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>Data di svolgimento della rilevazione</w:t>
      </w:r>
    </w:p>
    <w:p w14:paraId="0D93FB8B" w14:textId="07AEABE3" w:rsidR="00BC06DC" w:rsidRPr="0041405A" w:rsidRDefault="00BC06DC">
      <w:pPr>
        <w:pStyle w:val="Paragrafoelenco"/>
        <w:spacing w:after="0" w:line="276" w:lineRule="auto"/>
        <w:ind w:left="0" w:firstLine="0"/>
        <w:rPr>
          <w:rFonts w:ascii="Titillium" w:hAnsi="Titillium"/>
          <w:sz w:val="20"/>
          <w:szCs w:val="20"/>
        </w:rPr>
      </w:pPr>
      <w:r>
        <w:rPr>
          <w:rFonts w:ascii="Titillium" w:hAnsi="Titillium"/>
          <w:sz w:val="20"/>
          <w:szCs w:val="20"/>
        </w:rPr>
        <w:t>Il processo di rilevazione ha avuto inizio in data 11/06/2022 e concluso in data 27/06/2022</w:t>
      </w:r>
    </w:p>
    <w:p w14:paraId="259EE4E7" w14:textId="77777777" w:rsidR="00C27B23" w:rsidRPr="0041405A" w:rsidRDefault="00C27B23">
      <w:pPr>
        <w:pStyle w:val="Paragrafoelenco"/>
        <w:spacing w:line="276" w:lineRule="auto"/>
        <w:ind w:left="0" w:firstLine="0"/>
        <w:rPr>
          <w:rFonts w:ascii="Titillium" w:hAnsi="Titillium"/>
          <w:sz w:val="20"/>
          <w:szCs w:val="20"/>
        </w:rPr>
      </w:pPr>
    </w:p>
    <w:p w14:paraId="74F90B0D" w14:textId="77777777" w:rsidR="00C27B23" w:rsidRPr="0041405A" w:rsidRDefault="00C27B23">
      <w:pPr>
        <w:pStyle w:val="Paragrafoelenco"/>
        <w:spacing w:after="0" w:line="276" w:lineRule="auto"/>
        <w:ind w:left="720" w:firstLine="0"/>
        <w:rPr>
          <w:rFonts w:ascii="Titillium" w:hAnsi="Titillium"/>
          <w:sz w:val="20"/>
          <w:szCs w:val="20"/>
        </w:rPr>
      </w:pPr>
    </w:p>
    <w:p w14:paraId="1129D89A" w14:textId="77777777" w:rsidR="00C27B23" w:rsidRPr="0041405A" w:rsidRDefault="0048249A">
      <w:pPr>
        <w:pStyle w:val="Paragrafoelenco"/>
        <w:spacing w:line="360" w:lineRule="auto"/>
        <w:ind w:left="0" w:firstLine="0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 xml:space="preserve">Procedure e modalità seguite per la rilevazione </w:t>
      </w:r>
    </w:p>
    <w:p w14:paraId="06DBA297" w14:textId="77777777" w:rsidR="00C27B23" w:rsidRPr="0041405A" w:rsidRDefault="0048249A" w:rsidP="007A107C">
      <w:pPr>
        <w:pStyle w:val="Default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tillium" w:hAnsi="Titillium"/>
          <w:sz w:val="20"/>
          <w:szCs w:val="20"/>
        </w:rPr>
      </w:pPr>
      <w:proofErr w:type="gramStart"/>
      <w:r w:rsidRPr="0041405A">
        <w:rPr>
          <w:rFonts w:ascii="Titillium" w:hAnsi="Titillium"/>
          <w:sz w:val="20"/>
          <w:szCs w:val="20"/>
        </w:rPr>
        <w:t>verifica</w:t>
      </w:r>
      <w:proofErr w:type="gramEnd"/>
      <w:r w:rsidRPr="0041405A">
        <w:rPr>
          <w:rFonts w:ascii="Titillium" w:hAnsi="Titillium"/>
          <w:sz w:val="20"/>
          <w:szCs w:val="20"/>
        </w:rPr>
        <w:t xml:space="preserve"> dell’attività svolta dal Responsabile della</w:t>
      </w:r>
      <w:r w:rsidR="007A107C" w:rsidRPr="0041405A">
        <w:rPr>
          <w:rFonts w:ascii="Titillium" w:hAnsi="Titillium"/>
          <w:sz w:val="20"/>
          <w:szCs w:val="20"/>
        </w:rPr>
        <w:t xml:space="preserve"> preve</w:t>
      </w:r>
      <w:r w:rsidR="00713BFD" w:rsidRPr="0041405A">
        <w:rPr>
          <w:rFonts w:ascii="Titillium" w:hAnsi="Titillium"/>
          <w:sz w:val="20"/>
          <w:szCs w:val="20"/>
        </w:rPr>
        <w:t>nzione della corruzione e della</w:t>
      </w:r>
      <w:r w:rsidRPr="0041405A">
        <w:rPr>
          <w:rFonts w:ascii="Titillium" w:hAnsi="Titillium"/>
          <w:sz w:val="20"/>
          <w:szCs w:val="20"/>
        </w:rPr>
        <w:t xml:space="preserve"> trasparenza per riscontrare l’adempimento degli obblighi di pubblicazione;</w:t>
      </w:r>
    </w:p>
    <w:p w14:paraId="32F921AB" w14:textId="77777777" w:rsidR="00C27B23" w:rsidRPr="0041405A" w:rsidRDefault="0048249A" w:rsidP="007A107C">
      <w:pPr>
        <w:pStyle w:val="Default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tillium" w:hAnsi="Titillium"/>
          <w:sz w:val="20"/>
          <w:szCs w:val="20"/>
        </w:rPr>
      </w:pPr>
      <w:proofErr w:type="gramStart"/>
      <w:r w:rsidRPr="0041405A">
        <w:rPr>
          <w:rFonts w:ascii="Titillium" w:hAnsi="Titillium"/>
          <w:sz w:val="20"/>
          <w:szCs w:val="20"/>
        </w:rPr>
        <w:t>esame</w:t>
      </w:r>
      <w:proofErr w:type="gramEnd"/>
      <w:r w:rsidRPr="0041405A">
        <w:rPr>
          <w:rFonts w:ascii="Titillium" w:hAnsi="Titillium"/>
          <w:sz w:val="20"/>
          <w:szCs w:val="20"/>
        </w:rPr>
        <w:t xml:space="preserve"> della documentazione e delle banche dati relative ai dati oggetto di attestazione;</w:t>
      </w:r>
    </w:p>
    <w:p w14:paraId="1A8D7A69" w14:textId="77777777" w:rsidR="00C27B23" w:rsidRPr="0041405A" w:rsidRDefault="0048249A" w:rsidP="007A107C">
      <w:pPr>
        <w:pStyle w:val="Default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tillium" w:hAnsi="Titillium"/>
          <w:sz w:val="20"/>
          <w:szCs w:val="20"/>
        </w:rPr>
      </w:pPr>
      <w:proofErr w:type="gramStart"/>
      <w:r w:rsidRPr="0041405A">
        <w:rPr>
          <w:rFonts w:ascii="Titillium" w:hAnsi="Titillium"/>
          <w:sz w:val="20"/>
          <w:szCs w:val="20"/>
        </w:rPr>
        <w:t>colloqui</w:t>
      </w:r>
      <w:proofErr w:type="gramEnd"/>
      <w:r w:rsidRPr="0041405A">
        <w:rPr>
          <w:rFonts w:ascii="Titillium" w:hAnsi="Titillium"/>
          <w:sz w:val="20"/>
          <w:szCs w:val="20"/>
        </w:rPr>
        <w:t xml:space="preserve"> con i responsabili della trasmissione dei dati;</w:t>
      </w:r>
    </w:p>
    <w:p w14:paraId="7FEB98FD" w14:textId="77777777" w:rsidR="00C27B23" w:rsidRPr="0041405A" w:rsidRDefault="0048249A" w:rsidP="007A107C">
      <w:pPr>
        <w:pStyle w:val="Default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tillium" w:hAnsi="Titillium"/>
          <w:sz w:val="20"/>
          <w:szCs w:val="20"/>
        </w:rPr>
      </w:pPr>
      <w:proofErr w:type="gramStart"/>
      <w:r w:rsidRPr="0041405A">
        <w:rPr>
          <w:rFonts w:ascii="Titillium" w:hAnsi="Titillium"/>
          <w:sz w:val="20"/>
          <w:szCs w:val="20"/>
        </w:rPr>
        <w:t>verifica</w:t>
      </w:r>
      <w:proofErr w:type="gramEnd"/>
      <w:r w:rsidRPr="0041405A">
        <w:rPr>
          <w:rFonts w:ascii="Titillium" w:hAnsi="Titillium"/>
          <w:sz w:val="20"/>
          <w:szCs w:val="20"/>
        </w:rPr>
        <w:t xml:space="preserve"> </w:t>
      </w:r>
      <w:r w:rsidR="00713BFD" w:rsidRPr="0041405A">
        <w:rPr>
          <w:rFonts w:ascii="Titillium" w:hAnsi="Titillium"/>
          <w:sz w:val="20"/>
          <w:szCs w:val="20"/>
        </w:rPr>
        <w:t xml:space="preserve">diretta </w:t>
      </w:r>
      <w:r w:rsidRPr="0041405A">
        <w:rPr>
          <w:rFonts w:ascii="Titillium" w:hAnsi="Titillium"/>
          <w:sz w:val="20"/>
          <w:szCs w:val="20"/>
        </w:rPr>
        <w:t>sul sito istituzionale, anche attraverso l’utilizzo di supporti informatici</w:t>
      </w:r>
      <w:r w:rsidR="008A0378" w:rsidRPr="0041405A">
        <w:rPr>
          <w:rFonts w:ascii="Titillium" w:hAnsi="Titillium"/>
          <w:sz w:val="20"/>
          <w:szCs w:val="20"/>
        </w:rPr>
        <w:t>.</w:t>
      </w:r>
    </w:p>
    <w:p w14:paraId="0C5927BC" w14:textId="77777777" w:rsidR="00C27B23" w:rsidRPr="0041405A" w:rsidRDefault="00C27B23">
      <w:pPr>
        <w:spacing w:line="360" w:lineRule="auto"/>
        <w:rPr>
          <w:rFonts w:ascii="Titillium" w:hAnsi="Titillium"/>
          <w:sz w:val="20"/>
          <w:szCs w:val="20"/>
          <w:u w:val="single"/>
        </w:rPr>
      </w:pPr>
    </w:p>
    <w:p w14:paraId="53561AA8" w14:textId="77777777" w:rsidR="00C27B23" w:rsidRPr="0041405A" w:rsidRDefault="0048249A">
      <w:pPr>
        <w:spacing w:line="360" w:lineRule="auto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>Aspetti critici riscontrati nel corso della rilevazione</w:t>
      </w:r>
    </w:p>
    <w:p w14:paraId="29498430" w14:textId="257C031A" w:rsidR="00C27B23" w:rsidRPr="00CF59B2" w:rsidRDefault="006A063E" w:rsidP="00BC06DC">
      <w:pPr>
        <w:pStyle w:val="Paragrafoelenco"/>
        <w:numPr>
          <w:ilvl w:val="0"/>
          <w:numId w:val="5"/>
        </w:numPr>
        <w:spacing w:line="360" w:lineRule="auto"/>
        <w:rPr>
          <w:rFonts w:ascii="Titillium" w:hAnsi="Titillium"/>
          <w:b/>
          <w:sz w:val="20"/>
          <w:szCs w:val="20"/>
          <w:u w:val="single"/>
        </w:rPr>
      </w:pPr>
      <w:r>
        <w:rPr>
          <w:rFonts w:ascii="Titillium" w:hAnsi="Titillium"/>
          <w:bCs/>
          <w:sz w:val="20"/>
          <w:szCs w:val="20"/>
        </w:rPr>
        <w:t xml:space="preserve">Consulenti e collaboratori: le informazioni richieste anziché riportate in </w:t>
      </w:r>
      <w:proofErr w:type="gramStart"/>
      <w:r>
        <w:rPr>
          <w:rFonts w:ascii="Titillium" w:hAnsi="Titillium"/>
          <w:bCs/>
          <w:sz w:val="20"/>
          <w:szCs w:val="20"/>
        </w:rPr>
        <w:t>ogni</w:t>
      </w:r>
      <w:proofErr w:type="gramEnd"/>
      <w:r>
        <w:rPr>
          <w:rFonts w:ascii="Titillium" w:hAnsi="Titillium"/>
          <w:bCs/>
          <w:sz w:val="20"/>
          <w:szCs w:val="20"/>
        </w:rPr>
        <w:t xml:space="preserve"> sotto sezione dedicata sono comunque rese noto in generale nella sezione generale di riferimento. Con riguardo ai singoli consulenti/collaboratori, per il solo Geom. Domenico Smeriglio è stato pubblicato il CV in formato europeo, mentre </w:t>
      </w:r>
      <w:r w:rsidR="00CF59B2">
        <w:rPr>
          <w:rFonts w:ascii="Titillium" w:hAnsi="Titillium"/>
          <w:bCs/>
          <w:sz w:val="20"/>
          <w:szCs w:val="20"/>
        </w:rPr>
        <w:t>per i restanti consulenti/collaboratori, i CV risultano in possesso dell’ente ma non pubblicati nella sezione “Amministrazione Trasparente” del sito istituzionale. Per tale motivo è richiesta la suddetta pubblicazione. È inoltre richiesta, per ciascuno dei consulenti/collaboratori, la pubblicazione dell’Attestazione dell’avvenuta verifica dell’insussistenza di situazioni, anche potenziali, di conflitto di interesse.</w:t>
      </w:r>
    </w:p>
    <w:p w14:paraId="70E98E30" w14:textId="0D2C7019" w:rsidR="009211DC" w:rsidRPr="009211DC" w:rsidRDefault="00CF59B2" w:rsidP="009211DC">
      <w:pPr>
        <w:pStyle w:val="Paragrafoelenco"/>
        <w:numPr>
          <w:ilvl w:val="0"/>
          <w:numId w:val="5"/>
        </w:numPr>
        <w:spacing w:line="360" w:lineRule="auto"/>
        <w:rPr>
          <w:rFonts w:ascii="Titillium" w:hAnsi="Titillium"/>
          <w:b/>
          <w:sz w:val="20"/>
          <w:szCs w:val="20"/>
          <w:u w:val="single"/>
        </w:rPr>
      </w:pPr>
      <w:r>
        <w:rPr>
          <w:rFonts w:ascii="Titillium" w:hAnsi="Titillium"/>
          <w:bCs/>
          <w:sz w:val="20"/>
          <w:szCs w:val="20"/>
        </w:rPr>
        <w:t xml:space="preserve">Enti controllati: l’Ente non presenta Enti pubblici vigilati. In merito alle Società controllate, è stata regolarmente redatta ed in possesso dell’Ente la Relazione Società partecipate al 31.12.2021, ma non ancora pubblicata nella sezione “Amministrazione Trasparente” del sito istituzionale. È richiesta pertanto la pubblicazione. L’Ente </w:t>
      </w:r>
      <w:r w:rsidR="009211DC">
        <w:rPr>
          <w:rFonts w:ascii="Titillium" w:hAnsi="Titillium"/>
          <w:bCs/>
          <w:sz w:val="20"/>
          <w:szCs w:val="20"/>
        </w:rPr>
        <w:t>non presenta Enti di diritto privato controllati. È inoltre richiesta la pubblicazione della Rappresentazione grafica che evidenzi i rapporti tra l’Amministrazione e le società partecipate.</w:t>
      </w:r>
    </w:p>
    <w:p w14:paraId="7CD52148" w14:textId="63D6061F" w:rsidR="009211DC" w:rsidRPr="00560D49" w:rsidRDefault="009211DC" w:rsidP="009211DC">
      <w:pPr>
        <w:pStyle w:val="Paragrafoelenco"/>
        <w:numPr>
          <w:ilvl w:val="0"/>
          <w:numId w:val="5"/>
        </w:numPr>
        <w:spacing w:line="360" w:lineRule="auto"/>
        <w:rPr>
          <w:rFonts w:ascii="Titillium" w:hAnsi="Titillium"/>
          <w:b/>
          <w:sz w:val="20"/>
          <w:szCs w:val="20"/>
          <w:u w:val="single"/>
        </w:rPr>
      </w:pPr>
      <w:r>
        <w:rPr>
          <w:rFonts w:ascii="Titillium" w:hAnsi="Titillium"/>
          <w:bCs/>
          <w:sz w:val="20"/>
          <w:szCs w:val="20"/>
        </w:rPr>
        <w:t xml:space="preserve">Pagamenti dell’Amministrazione: L’ammontare complessivo dei debiti ed il </w:t>
      </w:r>
      <w:r>
        <w:rPr>
          <w:rFonts w:ascii="Titillium" w:hAnsi="Titillium"/>
          <w:bCs/>
          <w:sz w:val="20"/>
          <w:szCs w:val="20"/>
        </w:rPr>
        <w:lastRenderedPageBreak/>
        <w:t>numero delle imprese creditrici è pubblicato nella sotto sezione ‘Dati pagamenti’</w:t>
      </w:r>
      <w:r w:rsidR="00405BA4">
        <w:rPr>
          <w:rFonts w:ascii="Titillium" w:hAnsi="Titillium"/>
          <w:bCs/>
          <w:sz w:val="20"/>
          <w:szCs w:val="20"/>
        </w:rPr>
        <w:t>.</w:t>
      </w:r>
    </w:p>
    <w:p w14:paraId="4F2650CD" w14:textId="0175C8CF" w:rsidR="00560D49" w:rsidRPr="00560D49" w:rsidRDefault="00560D49" w:rsidP="00560D49">
      <w:pPr>
        <w:spacing w:line="360" w:lineRule="auto"/>
        <w:rPr>
          <w:rFonts w:ascii="Titillium" w:hAnsi="Titillium"/>
          <w:sz w:val="20"/>
          <w:szCs w:val="20"/>
        </w:rPr>
      </w:pPr>
      <w:r>
        <w:rPr>
          <w:rFonts w:ascii="Titillium" w:hAnsi="Titillium"/>
          <w:sz w:val="20"/>
          <w:szCs w:val="20"/>
        </w:rPr>
        <w:t>Si richiede che l’adempimento alle su esposte richieste di pubblicazione sia ottemperato entro la da</w:t>
      </w:r>
      <w:r w:rsidR="002675E1">
        <w:rPr>
          <w:rFonts w:ascii="Titillium" w:hAnsi="Titillium"/>
          <w:sz w:val="20"/>
          <w:szCs w:val="20"/>
        </w:rPr>
        <w:t>ta del 31 ottobre 2022 come</w:t>
      </w:r>
      <w:bookmarkStart w:id="0" w:name="_GoBack"/>
      <w:bookmarkEnd w:id="0"/>
      <w:r>
        <w:rPr>
          <w:rFonts w:ascii="Titillium" w:hAnsi="Titillium"/>
          <w:sz w:val="20"/>
          <w:szCs w:val="20"/>
        </w:rPr>
        <w:t xml:space="preserve"> indicato da Delibera ANAC n. 201 del 13 aprile 2022</w:t>
      </w:r>
    </w:p>
    <w:p w14:paraId="13AA8C75" w14:textId="2ECF02C2" w:rsidR="00C27B23" w:rsidRDefault="00405BA4">
      <w:pPr>
        <w:spacing w:line="360" w:lineRule="auto"/>
        <w:rPr>
          <w:rFonts w:ascii="Titillium" w:hAnsi="Titillium"/>
          <w:b/>
          <w:sz w:val="20"/>
          <w:szCs w:val="20"/>
        </w:rPr>
      </w:pPr>
      <w:r>
        <w:rPr>
          <w:rFonts w:ascii="Titillium" w:hAnsi="Titillium"/>
          <w:b/>
          <w:sz w:val="20"/>
          <w:szCs w:val="20"/>
        </w:rPr>
        <w:t>Data 27.06.2022</w:t>
      </w:r>
    </w:p>
    <w:p w14:paraId="56A98E1D" w14:textId="226CA445" w:rsidR="00405BA4" w:rsidRDefault="00405BA4" w:rsidP="00405BA4">
      <w:pPr>
        <w:spacing w:line="360" w:lineRule="auto"/>
        <w:jc w:val="right"/>
        <w:rPr>
          <w:rFonts w:ascii="Titillium" w:hAnsi="Titillium"/>
          <w:b/>
          <w:sz w:val="20"/>
          <w:szCs w:val="20"/>
        </w:rPr>
      </w:pPr>
      <w:r>
        <w:rPr>
          <w:rFonts w:ascii="Titillium" w:hAnsi="Titillium"/>
          <w:b/>
          <w:sz w:val="20"/>
          <w:szCs w:val="20"/>
        </w:rPr>
        <w:t>FIRMA</w:t>
      </w:r>
    </w:p>
    <w:p w14:paraId="3CE6A30A" w14:textId="6C74CC60" w:rsidR="00405BA4" w:rsidRPr="00405BA4" w:rsidRDefault="00405BA4" w:rsidP="00405BA4">
      <w:pPr>
        <w:spacing w:line="360" w:lineRule="auto"/>
        <w:jc w:val="right"/>
        <w:rPr>
          <w:rFonts w:ascii="Titillium" w:hAnsi="Titillium"/>
          <w:bCs/>
          <w:i/>
          <w:sz w:val="20"/>
          <w:szCs w:val="20"/>
        </w:rPr>
      </w:pPr>
      <w:r>
        <w:rPr>
          <w:rFonts w:ascii="Titillium" w:hAnsi="Titillium"/>
          <w:bCs/>
          <w:sz w:val="20"/>
          <w:szCs w:val="20"/>
        </w:rPr>
        <w:t>Dott. Giuseppe Orsino</w:t>
      </w:r>
    </w:p>
    <w:sectPr w:rsidR="00405BA4" w:rsidRPr="00405B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588B3" w14:textId="77777777" w:rsidR="00783D85" w:rsidRDefault="00783D85">
      <w:pPr>
        <w:spacing w:after="0" w:line="240" w:lineRule="auto"/>
      </w:pPr>
      <w:r>
        <w:separator/>
      </w:r>
    </w:p>
  </w:endnote>
  <w:endnote w:type="continuationSeparator" w:id="0">
    <w:p w14:paraId="29A160A5" w14:textId="77777777" w:rsidR="00783D85" w:rsidRDefault="00783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ourier New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954AD" w14:textId="77777777" w:rsidR="00257242" w:rsidRDefault="0025724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6688F" w14:textId="77777777" w:rsidR="00257242" w:rsidRDefault="0025724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E0319" w14:textId="77777777" w:rsidR="00257242" w:rsidRDefault="0025724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5B090" w14:textId="77777777" w:rsidR="00783D85" w:rsidRDefault="00783D85">
      <w:pPr>
        <w:spacing w:after="0" w:line="240" w:lineRule="auto"/>
      </w:pPr>
      <w:r>
        <w:separator/>
      </w:r>
    </w:p>
  </w:footnote>
  <w:footnote w:type="continuationSeparator" w:id="0">
    <w:p w14:paraId="2E32A54F" w14:textId="77777777" w:rsidR="00783D85" w:rsidRDefault="00783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EEFB2" w14:textId="77777777" w:rsidR="00257242" w:rsidRDefault="0025724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83D3D" w14:textId="77777777" w:rsidR="0085206C" w:rsidRDefault="0085206C" w:rsidP="006E496C">
    <w:pPr>
      <w:pStyle w:val="Intestazione"/>
      <w:jc w:val="right"/>
      <w:rPr>
        <w:rFonts w:ascii="Garamond" w:hAnsi="Garamond"/>
        <w:b/>
      </w:rPr>
    </w:pP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2F96D1DD" wp14:editId="47FDE799">
          <wp:simplePos x="0" y="0"/>
          <wp:positionH relativeFrom="margin">
            <wp:posOffset>-271780</wp:posOffset>
          </wp:positionH>
          <wp:positionV relativeFrom="topMargin">
            <wp:posOffset>453390</wp:posOffset>
          </wp:positionV>
          <wp:extent cx="2879725" cy="341630"/>
          <wp:effectExtent l="0" t="0" r="0" b="127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3206B5" w14:textId="77777777" w:rsidR="0085206C" w:rsidRDefault="0085206C" w:rsidP="006E496C">
    <w:pPr>
      <w:pStyle w:val="Intestazione"/>
      <w:jc w:val="right"/>
      <w:rPr>
        <w:rFonts w:ascii="Garamond" w:hAnsi="Garamond"/>
        <w:b/>
      </w:rPr>
    </w:pPr>
  </w:p>
  <w:p w14:paraId="1838146A" w14:textId="77777777" w:rsidR="0085206C" w:rsidRDefault="0085206C" w:rsidP="0085206C">
    <w:pPr>
      <w:pStyle w:val="Intestazione"/>
      <w:tabs>
        <w:tab w:val="left" w:pos="3878"/>
      </w:tabs>
      <w:rPr>
        <w:rFonts w:ascii="Garamond" w:hAnsi="Garamond"/>
        <w:b/>
      </w:rPr>
    </w:pPr>
    <w:r>
      <w:rPr>
        <w:rFonts w:ascii="Garamond" w:hAnsi="Garamond"/>
        <w:b/>
      </w:rPr>
      <w:tab/>
    </w:r>
    <w:r>
      <w:rPr>
        <w:rFonts w:ascii="Garamond" w:hAnsi="Garamond"/>
        <w:b/>
      </w:rPr>
      <w:tab/>
    </w:r>
  </w:p>
  <w:p w14:paraId="3A73E500" w14:textId="77777777" w:rsidR="00C27B23" w:rsidRPr="000F2C0E" w:rsidRDefault="0048249A" w:rsidP="006E496C">
    <w:pPr>
      <w:pStyle w:val="Intestazione"/>
      <w:jc w:val="right"/>
      <w:rPr>
        <w:rFonts w:ascii="Titillium" w:hAnsi="Titillium" w:cs="Times New Roman"/>
        <w:b/>
        <w:sz w:val="20"/>
        <w:szCs w:val="20"/>
      </w:rPr>
    </w:pPr>
    <w:r w:rsidRPr="000F2C0E">
      <w:rPr>
        <w:rFonts w:ascii="Titillium" w:hAnsi="Titillium"/>
        <w:b/>
        <w:sz w:val="20"/>
        <w:szCs w:val="20"/>
      </w:rPr>
      <w:t xml:space="preserve">Allegato 3 alla </w:t>
    </w:r>
    <w:r w:rsidRPr="000F2C0E">
      <w:rPr>
        <w:rFonts w:ascii="Titillium" w:hAnsi="Titillium" w:cs="Times New Roman"/>
        <w:b/>
        <w:sz w:val="20"/>
        <w:szCs w:val="20"/>
      </w:rPr>
      <w:t>delibera</w:t>
    </w:r>
    <w:r w:rsidR="004833D5" w:rsidRPr="000F2C0E">
      <w:rPr>
        <w:rFonts w:ascii="Titillium" w:hAnsi="Titillium" w:cs="Times New Roman"/>
        <w:b/>
        <w:sz w:val="20"/>
        <w:szCs w:val="20"/>
      </w:rPr>
      <w:t xml:space="preserve"> ANAC</w:t>
    </w:r>
    <w:r w:rsidRPr="000F2C0E">
      <w:rPr>
        <w:rFonts w:ascii="Titillium" w:hAnsi="Titillium" w:cs="Times New Roman"/>
        <w:b/>
        <w:sz w:val="20"/>
        <w:szCs w:val="20"/>
      </w:rPr>
      <w:t xml:space="preserve"> n. </w:t>
    </w:r>
    <w:r w:rsidR="00506EFE">
      <w:rPr>
        <w:rFonts w:ascii="Titillium" w:hAnsi="Titillium" w:cs="Times New Roman"/>
        <w:b/>
        <w:sz w:val="20"/>
        <w:szCs w:val="20"/>
      </w:rPr>
      <w:t>201</w:t>
    </w:r>
    <w:r w:rsidRPr="000F2C0E">
      <w:rPr>
        <w:rFonts w:ascii="Titillium" w:hAnsi="Titillium" w:cs="Times New Roman"/>
        <w:b/>
        <w:sz w:val="20"/>
        <w:szCs w:val="20"/>
      </w:rPr>
      <w:t>/</w:t>
    </w:r>
    <w:r w:rsidR="009C05D1" w:rsidRPr="000F2C0E">
      <w:rPr>
        <w:rFonts w:ascii="Titillium" w:hAnsi="Titillium" w:cs="Times New Roman"/>
        <w:b/>
        <w:sz w:val="20"/>
        <w:szCs w:val="20"/>
      </w:rPr>
      <w:t>202</w:t>
    </w:r>
    <w:r w:rsidR="00257242">
      <w:rPr>
        <w:rFonts w:ascii="Titillium" w:hAnsi="Titillium" w:cs="Times New Roman"/>
        <w:b/>
        <w:sz w:val="20"/>
        <w:szCs w:val="20"/>
      </w:rPr>
      <w:t>2</w:t>
    </w:r>
  </w:p>
  <w:p w14:paraId="0B24F736" w14:textId="77777777" w:rsidR="0085206C" w:rsidRDefault="0085206C" w:rsidP="006E496C">
    <w:pPr>
      <w:pStyle w:val="Intestazione"/>
      <w:jc w:val="right"/>
      <w:rPr>
        <w:rFonts w:ascii="Garamond" w:hAnsi="Garamond" w:cs="Times New Roman"/>
        <w:b/>
      </w:rPr>
    </w:pPr>
  </w:p>
  <w:p w14:paraId="242C8DAA" w14:textId="77777777" w:rsidR="0085206C" w:rsidRPr="006E496C" w:rsidRDefault="0085206C" w:rsidP="006E496C">
    <w:pPr>
      <w:pStyle w:val="Intestazione"/>
      <w:jc w:val="right"/>
      <w:rPr>
        <w:rFonts w:ascii="Garamond" w:hAnsi="Garamond" w:cs="Times New Roman"/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77031" w14:textId="77777777" w:rsidR="00257242" w:rsidRDefault="0025724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3E981BA1"/>
    <w:multiLevelType w:val="multilevel"/>
    <w:tmpl w:val="42B6B57E"/>
    <w:lvl w:ilvl="0">
      <w:start w:val="1"/>
      <w:numFmt w:val="none"/>
      <w:pStyle w:val="Titolo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3047AB5"/>
    <w:multiLevelType w:val="hybridMultilevel"/>
    <w:tmpl w:val="A74818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B274FF9"/>
    <w:multiLevelType w:val="hybridMultilevel"/>
    <w:tmpl w:val="4CD022FC"/>
    <w:lvl w:ilvl="0" w:tplc="77CA1D2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23"/>
    <w:rsid w:val="00040F20"/>
    <w:rsid w:val="000D4BFA"/>
    <w:rsid w:val="000F2C0E"/>
    <w:rsid w:val="0016468A"/>
    <w:rsid w:val="0024134D"/>
    <w:rsid w:val="00257242"/>
    <w:rsid w:val="002675E1"/>
    <w:rsid w:val="002C572E"/>
    <w:rsid w:val="003E1CF5"/>
    <w:rsid w:val="00405BA4"/>
    <w:rsid w:val="0041405A"/>
    <w:rsid w:val="00416AD0"/>
    <w:rsid w:val="0048249A"/>
    <w:rsid w:val="004833D5"/>
    <w:rsid w:val="004F18CD"/>
    <w:rsid w:val="00506EFE"/>
    <w:rsid w:val="00560D49"/>
    <w:rsid w:val="005A51AE"/>
    <w:rsid w:val="0060106A"/>
    <w:rsid w:val="006A063E"/>
    <w:rsid w:val="006E496C"/>
    <w:rsid w:val="007052EA"/>
    <w:rsid w:val="00713BFD"/>
    <w:rsid w:val="00783D85"/>
    <w:rsid w:val="007A107C"/>
    <w:rsid w:val="00837860"/>
    <w:rsid w:val="0085206C"/>
    <w:rsid w:val="00861FE1"/>
    <w:rsid w:val="008A0378"/>
    <w:rsid w:val="009211DC"/>
    <w:rsid w:val="00955140"/>
    <w:rsid w:val="009A5646"/>
    <w:rsid w:val="009C05D1"/>
    <w:rsid w:val="009C6FAC"/>
    <w:rsid w:val="00A52DF7"/>
    <w:rsid w:val="00A96B65"/>
    <w:rsid w:val="00AF790D"/>
    <w:rsid w:val="00BC06DC"/>
    <w:rsid w:val="00C27B23"/>
    <w:rsid w:val="00C32BE7"/>
    <w:rsid w:val="00CF59B2"/>
    <w:rsid w:val="00D27496"/>
    <w:rsid w:val="00D816AE"/>
    <w:rsid w:val="00FC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9B965"/>
  <w15:docId w15:val="{D8AD634E-ECDE-4555-9D79-01F38D60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Pr>
      <w:position w:val="22"/>
      <w:sz w:val="14"/>
    </w:rPr>
  </w:style>
  <w:style w:type="character" w:customStyle="1" w:styleId="TestonotaapidipaginaCarattere">
    <w:name w:val="Testo nota a piè di pagina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Pr>
      <w:rFonts w:ascii="Courier New" w:hAnsi="Courier New" w:cs="Courier New"/>
    </w:rPr>
  </w:style>
  <w:style w:type="character" w:customStyle="1" w:styleId="WWCharLFO13LVL3">
    <w:name w:val="WW_CharLFO13LVL3"/>
    <w:rPr>
      <w:rFonts w:ascii="Wingdings" w:hAnsi="Wingdings"/>
    </w:rPr>
  </w:style>
  <w:style w:type="character" w:customStyle="1" w:styleId="WWCharLFO13LVL4">
    <w:name w:val="WW_CharLFO13LVL4"/>
    <w:rPr>
      <w:rFonts w:ascii="Symbol" w:hAnsi="Symbol"/>
    </w:rPr>
  </w:style>
  <w:style w:type="character" w:customStyle="1" w:styleId="WWCharLFO13LVL5">
    <w:name w:val="WW_CharLFO13LVL5"/>
    <w:rPr>
      <w:rFonts w:ascii="Courier New" w:hAnsi="Courier New" w:cs="Courier New"/>
    </w:rPr>
  </w:style>
  <w:style w:type="character" w:customStyle="1" w:styleId="WWCharLFO13LVL6">
    <w:name w:val="WW_CharLFO13LVL6"/>
    <w:rPr>
      <w:rFonts w:ascii="Wingdings" w:hAnsi="Wingdings"/>
    </w:rPr>
  </w:style>
  <w:style w:type="character" w:customStyle="1" w:styleId="WWCharLFO13LVL7">
    <w:name w:val="WW_CharLFO13LVL7"/>
    <w:rPr>
      <w:rFonts w:ascii="Symbol" w:hAnsi="Symbol"/>
    </w:rPr>
  </w:style>
  <w:style w:type="character" w:customStyle="1" w:styleId="WWCharLFO13LVL8">
    <w:name w:val="WW_CharLFO13LVL8"/>
    <w:rPr>
      <w:rFonts w:ascii="Courier New" w:hAnsi="Courier New" w:cs="Courier New"/>
    </w:rPr>
  </w:style>
  <w:style w:type="character" w:customStyle="1" w:styleId="WWCharLFO13LVL9">
    <w:name w:val="WW_CharLFO13LVL9"/>
    <w:rPr>
      <w:rFonts w:ascii="Wingdings" w:hAnsi="Wingdings"/>
    </w:rPr>
  </w:style>
  <w:style w:type="character" w:customStyle="1" w:styleId="WWCharLFO15LVL1">
    <w:name w:val="WW_CharLFO15LVL1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Pr>
      <w:rFonts w:ascii="Courier New" w:hAnsi="Courier New" w:cs="Courier New"/>
    </w:rPr>
  </w:style>
  <w:style w:type="character" w:customStyle="1" w:styleId="WWCharLFO15LVL3">
    <w:name w:val="WW_CharLFO15LVL3"/>
    <w:rPr>
      <w:rFonts w:ascii="Wingdings" w:hAnsi="Wingdings"/>
    </w:rPr>
  </w:style>
  <w:style w:type="character" w:customStyle="1" w:styleId="WWCharLFO15LVL4">
    <w:name w:val="WW_CharLFO15LVL4"/>
    <w:rPr>
      <w:rFonts w:ascii="Symbol" w:hAnsi="Symbol"/>
    </w:rPr>
  </w:style>
  <w:style w:type="character" w:customStyle="1" w:styleId="WWCharLFO15LVL5">
    <w:name w:val="WW_CharLFO15LVL5"/>
    <w:rPr>
      <w:rFonts w:ascii="Courier New" w:hAnsi="Courier New" w:cs="Courier New"/>
    </w:rPr>
  </w:style>
  <w:style w:type="character" w:customStyle="1" w:styleId="WWCharLFO15LVL6">
    <w:name w:val="WW_CharLFO15LVL6"/>
    <w:rPr>
      <w:rFonts w:ascii="Wingdings" w:hAnsi="Wingdings"/>
    </w:rPr>
  </w:style>
  <w:style w:type="character" w:customStyle="1" w:styleId="WWCharLFO15LVL7">
    <w:name w:val="WW_CharLFO15LVL7"/>
    <w:rPr>
      <w:rFonts w:ascii="Symbol" w:hAnsi="Symbol"/>
    </w:rPr>
  </w:style>
  <w:style w:type="character" w:customStyle="1" w:styleId="WWCharLFO15LVL8">
    <w:name w:val="WW_CharLFO15LVL8"/>
    <w:rPr>
      <w:rFonts w:ascii="Courier New" w:hAnsi="Courier New" w:cs="Courier New"/>
    </w:rPr>
  </w:style>
  <w:style w:type="character" w:customStyle="1" w:styleId="WWCharLFO15LVL9">
    <w:name w:val="WW_CharLFO15LVL9"/>
    <w:rPr>
      <w:rFonts w:ascii="Wingdings" w:hAnsi="Wingdings"/>
    </w:rPr>
  </w:style>
  <w:style w:type="character" w:customStyle="1" w:styleId="Caratteredellanota">
    <w:name w:val="Carattere della nota"/>
  </w:style>
  <w:style w:type="paragraph" w:styleId="Testonotaapidipagina">
    <w:name w:val="footnote text"/>
    <w:basedOn w:val="Normale"/>
  </w:style>
  <w:style w:type="paragraph" w:styleId="Paragrafoelenco">
    <w:name w:val="List Paragraph"/>
    <w:basedOn w:val="Normale"/>
    <w:pPr>
      <w:ind w:left="357" w:hanging="357"/>
    </w:pPr>
  </w:style>
  <w:style w:type="paragraph" w:styleId="Titolo">
    <w:name w:val="Title"/>
    <w:basedOn w:val="Normale"/>
    <w:next w:val="Normale"/>
    <w:autoRedefine/>
    <w:pPr>
      <w:numPr>
        <w:numId w:val="1"/>
      </w:num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">
    <w:name w:val="Corpo del testo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i.siciliani</dc:creator>
  <cp:lastModifiedBy>Utente</cp:lastModifiedBy>
  <cp:revision>5</cp:revision>
  <cp:lastPrinted>2022-06-27T08:07:00Z</cp:lastPrinted>
  <dcterms:created xsi:type="dcterms:W3CDTF">2022-06-10T08:19:00Z</dcterms:created>
  <dcterms:modified xsi:type="dcterms:W3CDTF">2022-06-27T08:10:00Z</dcterms:modified>
</cp:coreProperties>
</file>